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540F3B02"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00E51456">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257E86" w:rsidRPr="00257E86">
        <w:rPr>
          <w:rFonts w:ascii="Arial" w:hAnsi="Arial" w:cs="Arial"/>
          <w:b/>
          <w:bCs/>
          <w:lang w:val="en-US" w:eastAsia="en-US"/>
        </w:rPr>
        <w:t>R2-2104220</w:t>
      </w:r>
      <w:bookmarkStart w:id="1" w:name="_GoBack"/>
      <w:bookmarkEnd w:id="1"/>
    </w:p>
    <w:bookmarkEnd w:id="0"/>
    <w:p w14:paraId="27CAEAD4" w14:textId="7B067AAC"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D77102">
        <w:rPr>
          <w:rFonts w:ascii="Arial" w:hAnsi="Arial" w:cs="Arial"/>
          <w:b/>
          <w:bCs/>
          <w:lang w:val="en-US" w:eastAsia="en-US"/>
        </w:rPr>
        <w:t>12</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Pr>
          <w:rFonts w:ascii="Arial" w:hAnsi="Arial" w:cs="Arial"/>
          <w:b/>
          <w:bCs/>
          <w:lang w:val="en-US" w:eastAsia="en-US"/>
        </w:rPr>
        <w:t xml:space="preserve"> – </w:t>
      </w:r>
      <w:r w:rsidR="00D77102">
        <w:rPr>
          <w:rFonts w:ascii="Arial" w:hAnsi="Arial" w:cs="Arial"/>
          <w:b/>
          <w:bCs/>
          <w:lang w:val="en-US" w:eastAsia="en-US"/>
        </w:rPr>
        <w:t>20</w:t>
      </w:r>
      <w:r w:rsidR="006C11B1">
        <w:rPr>
          <w:rFonts w:ascii="Arial" w:hAnsi="Arial" w:cs="Arial"/>
          <w:b/>
          <w:bCs/>
          <w:vertAlign w:val="superscript"/>
          <w:lang w:val="en-US" w:eastAsia="en-US"/>
        </w:rPr>
        <w:t>th</w:t>
      </w:r>
      <w:r>
        <w:rPr>
          <w:rFonts w:ascii="Arial" w:hAnsi="Arial" w:cs="Arial"/>
          <w:b/>
          <w:bCs/>
          <w:lang w:val="en-US" w:eastAsia="en-US"/>
        </w:rPr>
        <w:t> </w:t>
      </w:r>
      <w:r w:rsidR="00B1737B">
        <w:rPr>
          <w:rFonts w:ascii="Arial" w:hAnsi="Arial" w:cs="Arial"/>
          <w:b/>
          <w:bCs/>
          <w:lang w:val="en-US" w:eastAsia="en-US"/>
        </w:rPr>
        <w:t>April</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27BCAA05"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FD1457" w:rsidRPr="00FD1457">
        <w:rPr>
          <w:rFonts w:ascii="Arial" w:hAnsi="Arial" w:cs="Arial"/>
          <w:b/>
          <w:bCs/>
          <w:lang w:val="en-US"/>
        </w:rPr>
        <w:t>Discussion on data volume calculation</w:t>
      </w:r>
    </w:p>
    <w:p w14:paraId="12450CE5" w14:textId="59CFB38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047AA">
        <w:rPr>
          <w:rFonts w:ascii="Arial" w:hAnsi="Arial" w:cs="Arial"/>
          <w:b/>
          <w:bCs/>
          <w:lang w:val="en-US" w:eastAsia="en-US"/>
        </w:rPr>
        <w:t>6</w:t>
      </w:r>
      <w:r w:rsidR="00D8647E">
        <w:rPr>
          <w:rFonts w:ascii="Arial" w:hAnsi="Arial" w:cs="Arial"/>
          <w:b/>
          <w:bCs/>
          <w:lang w:val="en-US" w:eastAsia="en-US"/>
        </w:rPr>
        <w:t>.</w:t>
      </w:r>
      <w:r w:rsidR="008047AA">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32D85A05" w14:textId="5F10F6B8" w:rsidR="00434955" w:rsidRDefault="009C3FDE" w:rsidP="00977BE8">
      <w:r>
        <w:t>According to the previous RAN2 discussion, RAN2 made the following agreements</w:t>
      </w:r>
      <w:r w:rsidR="0033419B">
        <w:t xml:space="preserve"> [1]</w:t>
      </w:r>
      <w:r>
        <w:t xml:space="preserve"> regarding the selection between the SDT procedure and the non-SDT procedure:</w:t>
      </w:r>
    </w:p>
    <w:tbl>
      <w:tblPr>
        <w:tblStyle w:val="TableGrid"/>
        <w:tblW w:w="0" w:type="auto"/>
        <w:tblLook w:val="04A0" w:firstRow="1" w:lastRow="0" w:firstColumn="1" w:lastColumn="0" w:noHBand="0" w:noVBand="1"/>
      </w:tblPr>
      <w:tblGrid>
        <w:gridCol w:w="9855"/>
      </w:tblGrid>
      <w:tr w:rsidR="00271713" w14:paraId="269AB86D" w14:textId="77777777" w:rsidTr="00271713">
        <w:tc>
          <w:tcPr>
            <w:tcW w:w="9855" w:type="dxa"/>
          </w:tcPr>
          <w:p w14:paraId="66CB76D5" w14:textId="7985066E" w:rsidR="00271713" w:rsidRDefault="00271713" w:rsidP="00271713">
            <w:pPr>
              <w:pStyle w:val="ListParagraph"/>
              <w:numPr>
                <w:ilvl w:val="0"/>
                <w:numId w:val="24"/>
              </w:numPr>
              <w:ind w:firstLineChars="0"/>
            </w:pPr>
            <w:r>
              <w:t>Data volume threshold is used for the UE to dec</w:t>
            </w:r>
            <w:r w:rsidR="000C3280">
              <w:t xml:space="preserve">ide whether to do SDT or not. </w:t>
            </w:r>
            <w:r>
              <w:t xml:space="preserve">FFS how we calculate data volume.  </w:t>
            </w:r>
          </w:p>
        </w:tc>
      </w:tr>
    </w:tbl>
    <w:p w14:paraId="473E4BDD" w14:textId="5B6F983E" w:rsidR="009C3FDE" w:rsidRDefault="000C3280" w:rsidP="00977BE8">
      <w:r>
        <w:t>In this contribution, we discuss how the data volume threshold is configured for the UE and how the UE calculate the data volume for the selection of the SDT procedure.</w:t>
      </w:r>
    </w:p>
    <w:p w14:paraId="6B332CC7" w14:textId="3E1CDBCB" w:rsidR="00DA44DE" w:rsidRDefault="00DA44DE" w:rsidP="00DA44DE">
      <w:pPr>
        <w:pStyle w:val="Heading1"/>
        <w:tabs>
          <w:tab w:val="left" w:pos="432"/>
        </w:tabs>
        <w:jc w:val="left"/>
      </w:pPr>
      <w:r>
        <w:rPr>
          <w:rFonts w:hint="eastAsia"/>
        </w:rPr>
        <w:t>Discussion</w:t>
      </w:r>
    </w:p>
    <w:p w14:paraId="49935D21" w14:textId="0B7F933C" w:rsidR="00B02966" w:rsidRPr="00C71CD7" w:rsidRDefault="00327697" w:rsidP="00840116">
      <w:pPr>
        <w:pStyle w:val="Heading2"/>
        <w:keepLines w:val="0"/>
        <w:tabs>
          <w:tab w:val="clear" w:pos="1002"/>
          <w:tab w:val="num" w:pos="576"/>
        </w:tabs>
        <w:spacing w:line="240" w:lineRule="auto"/>
        <w:ind w:left="0" w:firstLine="0"/>
        <w:jc w:val="left"/>
      </w:pPr>
      <w:r>
        <w:rPr>
          <w:rFonts w:cs="Arial"/>
          <w:bCs/>
          <w:lang w:val="en-US"/>
        </w:rPr>
        <w:t>Configuration of data volume for SDT</w:t>
      </w:r>
    </w:p>
    <w:p w14:paraId="5F4304DD" w14:textId="7D6E48A0" w:rsidR="00801C66" w:rsidRDefault="000116BA" w:rsidP="00AF7C99">
      <w:pPr>
        <w:rPr>
          <w:lang w:eastAsia="ko-KR"/>
        </w:rPr>
      </w:pPr>
      <w:r>
        <w:rPr>
          <w:lang w:eastAsia="ko-KR"/>
        </w:rPr>
        <w:t>According to the SDT discussion in RAN2</w:t>
      </w:r>
      <w:r w:rsidR="00AA0EE2">
        <w:rPr>
          <w:lang w:eastAsia="ko-KR"/>
        </w:rPr>
        <w:t xml:space="preserve">, the SDT procedure includes the following </w:t>
      </w:r>
      <w:r w:rsidR="00AA0EE2">
        <w:rPr>
          <w:rFonts w:hint="eastAsia"/>
        </w:rPr>
        <w:t>thre</w:t>
      </w:r>
      <w:r w:rsidR="00AA0EE2">
        <w:rPr>
          <w:lang w:eastAsia="ko-KR"/>
        </w:rPr>
        <w:t>e type</w:t>
      </w:r>
      <w:r w:rsidR="00AA0EE2">
        <w:rPr>
          <w:rFonts w:hint="eastAsia"/>
        </w:rPr>
        <w:t>s:</w:t>
      </w:r>
    </w:p>
    <w:p w14:paraId="2F434F69" w14:textId="051088DF" w:rsidR="00A83624" w:rsidRDefault="00A83624" w:rsidP="00A83624">
      <w:pPr>
        <w:pStyle w:val="ListParagraph"/>
        <w:numPr>
          <w:ilvl w:val="0"/>
          <w:numId w:val="25"/>
        </w:numPr>
        <w:ind w:firstLineChars="0"/>
        <w:rPr>
          <w:lang w:eastAsia="ko-KR"/>
        </w:rPr>
      </w:pPr>
      <w:r>
        <w:rPr>
          <w:lang w:eastAsia="ko-KR"/>
        </w:rPr>
        <w:t xml:space="preserve">4-step </w:t>
      </w:r>
      <w:r>
        <w:rPr>
          <w:rFonts w:hint="eastAsia"/>
          <w:lang w:eastAsia="zh-CN"/>
        </w:rPr>
        <w:t>RA</w:t>
      </w:r>
      <w:r>
        <w:t xml:space="preserve"> SDT: UL data via Msg3</w:t>
      </w:r>
    </w:p>
    <w:p w14:paraId="53C0D14D" w14:textId="2F9FB735" w:rsidR="000116BA" w:rsidRDefault="00A83624" w:rsidP="00A83624">
      <w:pPr>
        <w:pStyle w:val="ListParagraph"/>
        <w:numPr>
          <w:ilvl w:val="0"/>
          <w:numId w:val="25"/>
        </w:numPr>
        <w:ind w:firstLineChars="0"/>
        <w:rPr>
          <w:lang w:eastAsia="ko-KR"/>
        </w:rPr>
      </w:pPr>
      <w:r>
        <w:rPr>
          <w:lang w:eastAsia="ko-KR"/>
        </w:rPr>
        <w:t>2-step RA SDT: UL data via MsgA</w:t>
      </w:r>
    </w:p>
    <w:p w14:paraId="1D4435C3" w14:textId="34BA41A0" w:rsidR="002F0A6A" w:rsidRDefault="002F0A6A" w:rsidP="00A83624">
      <w:pPr>
        <w:pStyle w:val="ListParagraph"/>
        <w:numPr>
          <w:ilvl w:val="0"/>
          <w:numId w:val="25"/>
        </w:numPr>
        <w:ind w:firstLineChars="0"/>
        <w:rPr>
          <w:lang w:eastAsia="ko-KR"/>
        </w:rPr>
      </w:pPr>
      <w:r>
        <w:rPr>
          <w:lang w:eastAsia="ko-KR"/>
        </w:rPr>
        <w:t>CG SDT: UL data via CG</w:t>
      </w:r>
    </w:p>
    <w:p w14:paraId="2674B1CC" w14:textId="4126CFC9" w:rsidR="00900138" w:rsidRDefault="00F22CBA" w:rsidP="00AF7C99">
      <w:pPr>
        <w:rPr>
          <w:lang w:eastAsia="ko-KR"/>
        </w:rPr>
      </w:pPr>
      <w:r>
        <w:rPr>
          <w:lang w:eastAsia="ko-KR"/>
        </w:rPr>
        <w:t xml:space="preserve">As the uplink grant is included in the </w:t>
      </w:r>
      <w:r>
        <w:t>configuration</w:t>
      </w:r>
      <w:r>
        <w:rPr>
          <w:lang w:eastAsia="ko-KR"/>
        </w:rPr>
        <w:t xml:space="preserve"> of the 2-step RACH MsgA and the CG</w:t>
      </w:r>
      <w:r w:rsidR="00D5106C">
        <w:rPr>
          <w:lang w:eastAsia="ko-KR"/>
        </w:rPr>
        <w:t xml:space="preserve">, the data volume </w:t>
      </w:r>
      <w:r w:rsidR="00152853">
        <w:rPr>
          <w:lang w:eastAsia="ko-KR"/>
        </w:rPr>
        <w:t>should be</w:t>
      </w:r>
      <w:r w:rsidR="00D5106C">
        <w:rPr>
          <w:lang w:eastAsia="ko-KR"/>
        </w:rPr>
        <w:t xml:space="preserve"> </w:t>
      </w:r>
      <w:r w:rsidR="00930D80">
        <w:rPr>
          <w:lang w:eastAsia="ko-KR"/>
        </w:rPr>
        <w:t xml:space="preserve">the </w:t>
      </w:r>
      <w:r w:rsidR="002A0903">
        <w:rPr>
          <w:lang w:eastAsia="ko-KR"/>
        </w:rPr>
        <w:t xml:space="preserve">TBS </w:t>
      </w:r>
      <w:r w:rsidR="00BC7397">
        <w:rPr>
          <w:lang w:eastAsia="ko-KR"/>
        </w:rPr>
        <w:t xml:space="preserve">calculated via the uplink grant </w:t>
      </w:r>
      <w:r w:rsidR="002A0903">
        <w:rPr>
          <w:lang w:eastAsia="ko-KR"/>
        </w:rPr>
        <w:t>of MsgA and CG</w:t>
      </w:r>
      <w:r w:rsidR="001863B5">
        <w:rPr>
          <w:lang w:eastAsia="ko-KR"/>
        </w:rPr>
        <w:t>.</w:t>
      </w:r>
      <w:r w:rsidR="00BE3D49">
        <w:rPr>
          <w:lang w:eastAsia="ko-KR"/>
        </w:rPr>
        <w:t xml:space="preserve"> For the 4-step RACH SDT</w:t>
      </w:r>
      <w:r w:rsidR="00866233">
        <w:rPr>
          <w:lang w:eastAsia="ko-KR"/>
        </w:rPr>
        <w:t xml:space="preserve">, the gNB should </w:t>
      </w:r>
      <w:r w:rsidR="00686382">
        <w:rPr>
          <w:lang w:eastAsia="ko-KR"/>
        </w:rPr>
        <w:t xml:space="preserve">explicitly </w:t>
      </w:r>
      <w:r w:rsidR="00866233">
        <w:rPr>
          <w:lang w:eastAsia="ko-KR"/>
        </w:rPr>
        <w:t xml:space="preserve">configure a </w:t>
      </w:r>
      <w:r w:rsidR="00686382">
        <w:rPr>
          <w:lang w:eastAsia="ko-KR"/>
        </w:rPr>
        <w:t>data volume</w:t>
      </w:r>
      <w:r w:rsidR="00866233">
        <w:rPr>
          <w:lang w:eastAsia="ko-KR"/>
        </w:rPr>
        <w:t xml:space="preserve"> threshold </w:t>
      </w:r>
      <w:r w:rsidR="00686382">
        <w:rPr>
          <w:lang w:eastAsia="ko-KR"/>
        </w:rPr>
        <w:t>for the UE</w:t>
      </w:r>
      <w:r w:rsidR="00124E34">
        <w:rPr>
          <w:lang w:eastAsia="ko-KR"/>
        </w:rPr>
        <w:t xml:space="preserve"> via SIB</w:t>
      </w:r>
      <w:r w:rsidR="0063514D">
        <w:rPr>
          <w:lang w:eastAsia="ko-KR"/>
        </w:rPr>
        <w:t>1</w:t>
      </w:r>
      <w:r w:rsidR="00686382">
        <w:rPr>
          <w:lang w:eastAsia="ko-KR"/>
        </w:rPr>
        <w:t>.</w:t>
      </w:r>
      <w:r w:rsidR="00B01B75">
        <w:rPr>
          <w:lang w:eastAsia="ko-KR"/>
        </w:rPr>
        <w:t xml:space="preserve"> </w:t>
      </w:r>
    </w:p>
    <w:p w14:paraId="3D459266" w14:textId="612F8842" w:rsidR="000A1166" w:rsidRDefault="000A1166" w:rsidP="000A1166">
      <w:pPr>
        <w:spacing w:afterLines="50" w:line="240" w:lineRule="auto"/>
        <w:jc w:val="left"/>
        <w:rPr>
          <w:b/>
        </w:rPr>
      </w:pPr>
      <w:r>
        <w:rPr>
          <w:b/>
        </w:rPr>
        <w:t xml:space="preserve">Proposal </w:t>
      </w:r>
      <w:r w:rsidR="00E11C0A">
        <w:rPr>
          <w:b/>
        </w:rPr>
        <w:t>1</w:t>
      </w:r>
      <w:r>
        <w:rPr>
          <w:b/>
        </w:rPr>
        <w:t xml:space="preserve">: For CG/2-step RACH SDT, the data volume threshold is </w:t>
      </w:r>
      <w:r w:rsidR="00654958">
        <w:rPr>
          <w:b/>
        </w:rPr>
        <w:t xml:space="preserve">the </w:t>
      </w:r>
      <w:r w:rsidR="00A81E5F">
        <w:rPr>
          <w:b/>
        </w:rPr>
        <w:t>uplink grant size</w:t>
      </w:r>
      <w:r w:rsidR="00654958">
        <w:rPr>
          <w:b/>
        </w:rPr>
        <w:t xml:space="preserve"> of</w:t>
      </w:r>
      <w:r>
        <w:rPr>
          <w:b/>
        </w:rPr>
        <w:t xml:space="preserve"> </w:t>
      </w:r>
      <w:r w:rsidR="008F5C77">
        <w:rPr>
          <w:b/>
        </w:rPr>
        <w:t>CG</w:t>
      </w:r>
      <w:r w:rsidR="004D1256">
        <w:rPr>
          <w:b/>
        </w:rPr>
        <w:t xml:space="preserve"> and </w:t>
      </w:r>
      <w:r w:rsidR="008F5C77">
        <w:rPr>
          <w:b/>
        </w:rPr>
        <w:t>MsgA respectively</w:t>
      </w:r>
      <w:r>
        <w:rPr>
          <w:b/>
        </w:rPr>
        <w:t>.</w:t>
      </w:r>
    </w:p>
    <w:p w14:paraId="0CC1EE6C" w14:textId="7E983ECE" w:rsidR="001863B5" w:rsidRDefault="00424911" w:rsidP="00AF7C99">
      <w:pPr>
        <w:rPr>
          <w:b/>
        </w:rPr>
      </w:pPr>
      <w:r w:rsidRPr="005B521A">
        <w:rPr>
          <w:b/>
          <w:lang w:eastAsia="ko-KR"/>
        </w:rPr>
        <w:t xml:space="preserve">Proposal 2: </w:t>
      </w:r>
      <w:r w:rsidR="002D2631" w:rsidRPr="005B521A">
        <w:rPr>
          <w:b/>
        </w:rPr>
        <w:t xml:space="preserve">For </w:t>
      </w:r>
      <w:r w:rsidR="001410EF">
        <w:rPr>
          <w:b/>
        </w:rPr>
        <w:t>4</w:t>
      </w:r>
      <w:r w:rsidR="002D2631" w:rsidRPr="005B521A">
        <w:rPr>
          <w:b/>
        </w:rPr>
        <w:t xml:space="preserve">-step RACH SDT, the data volume threshold is </w:t>
      </w:r>
      <w:r w:rsidR="00BF0A41">
        <w:rPr>
          <w:b/>
        </w:rPr>
        <w:t>configured in SIB</w:t>
      </w:r>
      <w:r w:rsidR="002D2631" w:rsidRPr="005B521A">
        <w:rPr>
          <w:b/>
        </w:rPr>
        <w:t>.</w:t>
      </w:r>
    </w:p>
    <w:p w14:paraId="31AE4E30" w14:textId="4967BDE0" w:rsidR="0023546C" w:rsidRDefault="0023546C" w:rsidP="00AF7C99">
      <w:r>
        <w:t xml:space="preserve">Regarding the value of the data volume threshold, as the data volume threshold configurations for different SDT procedures are different as given in Proposal 1 and 2. We consider that the gNB by implementation can decide whether to align the value of </w:t>
      </w:r>
      <w:r w:rsidR="0064192D">
        <w:t xml:space="preserve">different </w:t>
      </w:r>
      <w:r w:rsidR="001D711B">
        <w:t xml:space="preserve">configurations of </w:t>
      </w:r>
      <w:r w:rsidR="0064192D">
        <w:t>data volume threshold.</w:t>
      </w:r>
    </w:p>
    <w:p w14:paraId="13C3E06D" w14:textId="74268BA8" w:rsidR="00CC7FA0" w:rsidRPr="0045696D" w:rsidRDefault="00DA5789" w:rsidP="00AF7C99">
      <w:pPr>
        <w:rPr>
          <w:b/>
          <w:lang w:eastAsia="ko-KR"/>
        </w:rPr>
      </w:pPr>
      <w:r w:rsidRPr="0045696D">
        <w:rPr>
          <w:b/>
          <w:lang w:eastAsia="ko-KR"/>
        </w:rPr>
        <w:t>Proposal 3: The data volume threshold for different SDT procedure can be different.</w:t>
      </w:r>
    </w:p>
    <w:p w14:paraId="560123D9" w14:textId="4C524721" w:rsidR="00F70C51" w:rsidRPr="00C71CD7" w:rsidRDefault="00FE0C56" w:rsidP="00F70C51">
      <w:pPr>
        <w:pStyle w:val="Heading2"/>
        <w:keepLines w:val="0"/>
        <w:tabs>
          <w:tab w:val="clear" w:pos="1002"/>
          <w:tab w:val="num" w:pos="576"/>
        </w:tabs>
        <w:spacing w:line="240" w:lineRule="auto"/>
        <w:ind w:left="0" w:firstLine="0"/>
        <w:jc w:val="left"/>
      </w:pPr>
      <w:r>
        <w:rPr>
          <w:rFonts w:cs="Arial"/>
          <w:bCs/>
          <w:lang w:val="en-US"/>
        </w:rPr>
        <w:t>C</w:t>
      </w:r>
      <w:r w:rsidR="00F70C51">
        <w:rPr>
          <w:rFonts w:cs="Arial"/>
          <w:bCs/>
          <w:lang w:val="en-US"/>
        </w:rPr>
        <w:t>alculation of data volume for SDT</w:t>
      </w:r>
    </w:p>
    <w:p w14:paraId="1D374F91" w14:textId="2E18B00C" w:rsidR="000116BA" w:rsidRDefault="00FB1297" w:rsidP="00AF7C99">
      <w:pPr>
        <w:rPr>
          <w:lang w:eastAsia="ko-KR"/>
        </w:rPr>
      </w:pPr>
      <w:r>
        <w:rPr>
          <w:lang w:eastAsia="ko-KR"/>
        </w:rPr>
        <w:t>To calculate the data volume for transmission</w:t>
      </w:r>
      <w:r w:rsidR="000E07F0">
        <w:rPr>
          <w:lang w:eastAsia="ko-KR"/>
        </w:rPr>
        <w:t>, RAN2 should firstly decide which PDU type is used for the data volume calculation</w:t>
      </w:r>
      <w:r w:rsidR="00DC6E8F">
        <w:rPr>
          <w:lang w:eastAsia="ko-KR"/>
        </w:rPr>
        <w:t>. According to the LTE EDT solution</w:t>
      </w:r>
      <w:r w:rsidR="004C536E">
        <w:rPr>
          <w:lang w:eastAsia="ko-KR"/>
        </w:rPr>
        <w:t xml:space="preserve">, the UE </w:t>
      </w:r>
      <w:r w:rsidR="006C39D7">
        <w:rPr>
          <w:lang w:eastAsia="ko-KR"/>
        </w:rPr>
        <w:t>calculates the data volume of the expected MAC PDU</w:t>
      </w:r>
      <w:r w:rsidR="009F5AD8">
        <w:rPr>
          <w:lang w:eastAsia="ko-KR"/>
        </w:rPr>
        <w:t>,</w:t>
      </w:r>
      <w:r w:rsidR="0007628D">
        <w:rPr>
          <w:lang w:eastAsia="ko-KR"/>
        </w:rPr>
        <w:t xml:space="preserve"> which includes bot</w:t>
      </w:r>
      <w:r w:rsidR="0021766B">
        <w:rPr>
          <w:lang w:eastAsia="ko-KR"/>
        </w:rPr>
        <w:t>h the DRB data and the CCCH mes</w:t>
      </w:r>
      <w:r w:rsidR="0007628D">
        <w:rPr>
          <w:lang w:eastAsia="ko-KR"/>
        </w:rPr>
        <w:t>s</w:t>
      </w:r>
      <w:r w:rsidR="0021766B">
        <w:rPr>
          <w:lang w:eastAsia="ko-KR"/>
        </w:rPr>
        <w:t>a</w:t>
      </w:r>
      <w:r w:rsidR="0007628D">
        <w:rPr>
          <w:lang w:eastAsia="ko-KR"/>
        </w:rPr>
        <w:t>ge</w:t>
      </w:r>
      <w:r w:rsidR="007844DE">
        <w:rPr>
          <w:lang w:eastAsia="ko-KR"/>
        </w:rPr>
        <w:t>. We consider that the same principle as LTE EDT can be reused also for NR.</w:t>
      </w:r>
    </w:p>
    <w:p w14:paraId="0DEC3B13" w14:textId="7EA5E300" w:rsidR="00A83624" w:rsidRDefault="0002448F" w:rsidP="00AF7C99">
      <w:pPr>
        <w:rPr>
          <w:lang w:eastAsia="ko-KR"/>
        </w:rPr>
      </w:pPr>
      <w:r>
        <w:rPr>
          <w:b/>
        </w:rPr>
        <w:lastRenderedPageBreak/>
        <w:t xml:space="preserve">Proposal </w:t>
      </w:r>
      <w:r w:rsidR="0045696D">
        <w:rPr>
          <w:b/>
        </w:rPr>
        <w:t>4</w:t>
      </w:r>
      <w:r>
        <w:rPr>
          <w:b/>
        </w:rPr>
        <w:t xml:space="preserve">: </w:t>
      </w:r>
      <w:r w:rsidR="00520CCF">
        <w:rPr>
          <w:b/>
        </w:rPr>
        <w:t>The resulting MAC PDU size</w:t>
      </w:r>
      <w:r>
        <w:rPr>
          <w:b/>
        </w:rPr>
        <w:t xml:space="preserve"> of the first </w:t>
      </w:r>
      <w:r>
        <w:rPr>
          <w:rFonts w:hint="eastAsia"/>
          <w:b/>
        </w:rPr>
        <w:t>upl</w:t>
      </w:r>
      <w:r>
        <w:rPr>
          <w:b/>
        </w:rPr>
        <w:t>ink transmission</w:t>
      </w:r>
      <w:r w:rsidR="00520CCF">
        <w:rPr>
          <w:b/>
        </w:rPr>
        <w:t xml:space="preserve"> is </w:t>
      </w:r>
      <w:r w:rsidR="00BD034C">
        <w:rPr>
          <w:b/>
        </w:rPr>
        <w:t>compare</w:t>
      </w:r>
      <w:r w:rsidR="00162741">
        <w:rPr>
          <w:b/>
        </w:rPr>
        <w:t>d with the data volume threshold</w:t>
      </w:r>
      <w:r w:rsidR="00065586">
        <w:rPr>
          <w:b/>
        </w:rPr>
        <w:t>.</w:t>
      </w:r>
    </w:p>
    <w:p w14:paraId="05A3EB40" w14:textId="77777777" w:rsidR="000A715E" w:rsidRDefault="000A715E" w:rsidP="000A715E">
      <w:pPr>
        <w:rPr>
          <w:lang w:eastAsia="ko-KR"/>
        </w:rPr>
      </w:pPr>
      <w:r>
        <w:rPr>
          <w:lang w:eastAsia="ko-KR"/>
        </w:rPr>
        <w:t>If the data burst contains more than one small IP packets, we think that once the resulting MAC PDU size is smaller than the threshold, the UE should be allowed to use the SDT procedure, as the MAC already supports the packets concatenation.</w:t>
      </w:r>
    </w:p>
    <w:p w14:paraId="673F621D" w14:textId="67A7EDAA" w:rsidR="000A715E" w:rsidRDefault="000A715E" w:rsidP="00AF7C99">
      <w:pPr>
        <w:rPr>
          <w:lang w:eastAsia="ko-KR"/>
        </w:rPr>
      </w:pPr>
      <w:r w:rsidRPr="000A715E">
        <w:rPr>
          <w:b/>
          <w:lang w:eastAsia="ko-KR"/>
        </w:rPr>
        <w:t xml:space="preserve">Proposal </w:t>
      </w:r>
      <w:r w:rsidR="0045696D">
        <w:rPr>
          <w:b/>
          <w:lang w:eastAsia="ko-KR"/>
        </w:rPr>
        <w:t>5</w:t>
      </w:r>
      <w:r w:rsidRPr="000A715E">
        <w:rPr>
          <w:b/>
          <w:lang w:eastAsia="ko-KR"/>
        </w:rPr>
        <w:t>:</w:t>
      </w:r>
      <w:r w:rsidR="001B18BB" w:rsidRPr="001B18BB">
        <w:rPr>
          <w:b/>
        </w:rPr>
        <w:t xml:space="preserve"> </w:t>
      </w:r>
      <w:r w:rsidR="001B18BB">
        <w:rPr>
          <w:b/>
        </w:rPr>
        <w:t xml:space="preserve">The resulting MAC PDU can include more than one MAC </w:t>
      </w:r>
      <w:r w:rsidR="001B18BB">
        <w:rPr>
          <w:rFonts w:hint="eastAsia"/>
          <w:b/>
        </w:rPr>
        <w:t>SDU</w:t>
      </w:r>
      <w:r w:rsidR="001B18BB">
        <w:rPr>
          <w:b/>
        </w:rPr>
        <w:t xml:space="preserve">s </w:t>
      </w:r>
      <w:r w:rsidR="00A8361D">
        <w:rPr>
          <w:b/>
        </w:rPr>
        <w:t>of</w:t>
      </w:r>
      <w:r w:rsidR="001B18BB">
        <w:rPr>
          <w:b/>
        </w:rPr>
        <w:t xml:space="preserve"> SDT RB.</w:t>
      </w:r>
    </w:p>
    <w:p w14:paraId="589E0876" w14:textId="70B83E6A" w:rsidR="001D0D51" w:rsidRDefault="00877FF3" w:rsidP="00AF7C99">
      <w:pPr>
        <w:rPr>
          <w:lang w:eastAsia="ko-KR"/>
        </w:rPr>
      </w:pPr>
      <w:r>
        <w:rPr>
          <w:lang w:eastAsia="ko-KR"/>
        </w:rPr>
        <w:t>As NR SDT supports the RLC segmentation</w:t>
      </w:r>
      <w:r w:rsidR="000D66A4">
        <w:rPr>
          <w:lang w:eastAsia="ko-KR"/>
        </w:rPr>
        <w:t>, one issue is whether the RLC segment should be considered for the data volume calculation</w:t>
      </w:r>
      <w:r w:rsidR="00DB29E8">
        <w:rPr>
          <w:lang w:eastAsia="ko-KR"/>
        </w:rPr>
        <w:t xml:space="preserve">. From our understanding, if the RLC segment is counted for the data volume calculation, a data burst which has much larger data volume would be still be allowed for the SDT procedure. Then this breaks the </w:t>
      </w:r>
      <w:r w:rsidR="001D0D51">
        <w:rPr>
          <w:lang w:eastAsia="ko-KR"/>
        </w:rPr>
        <w:t>rule set by the data volume threshold.</w:t>
      </w:r>
    </w:p>
    <w:p w14:paraId="11216621" w14:textId="5D21E27A" w:rsidR="00473406" w:rsidRPr="00AC1855" w:rsidRDefault="004022CF" w:rsidP="00473406">
      <w:pPr>
        <w:spacing w:afterLines="50" w:line="240" w:lineRule="auto"/>
        <w:jc w:val="left"/>
        <w:rPr>
          <w:b/>
        </w:rPr>
      </w:pPr>
      <w:r w:rsidRPr="00AC1855">
        <w:rPr>
          <w:b/>
          <w:lang w:eastAsia="ko-KR"/>
        </w:rPr>
        <w:t xml:space="preserve">Proposal </w:t>
      </w:r>
      <w:r w:rsidR="0045696D">
        <w:rPr>
          <w:b/>
          <w:lang w:eastAsia="ko-KR"/>
        </w:rPr>
        <w:t>6</w:t>
      </w:r>
      <w:r w:rsidR="00473406" w:rsidRPr="00AC1855">
        <w:rPr>
          <w:b/>
          <w:lang w:eastAsia="ko-KR"/>
        </w:rPr>
        <w:t xml:space="preserve">: </w:t>
      </w:r>
      <w:r w:rsidR="00473406" w:rsidRPr="00AC1855">
        <w:rPr>
          <w:b/>
        </w:rPr>
        <w:t>Only the RLC PDU containing a complete RLC SDU is considered for the data volume calculation.</w:t>
      </w:r>
    </w:p>
    <w:p w14:paraId="1662BD9E" w14:textId="77777777" w:rsidR="00DA44DE" w:rsidRDefault="00DA44DE" w:rsidP="00DA44DE">
      <w:pPr>
        <w:pStyle w:val="Heading1"/>
        <w:jc w:val="left"/>
      </w:pPr>
      <w:r>
        <w:t>Conclusions</w:t>
      </w:r>
    </w:p>
    <w:p w14:paraId="651118C8" w14:textId="35739F51"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6E34C519" w14:textId="77777777" w:rsidR="00655B31" w:rsidRDefault="00655B31" w:rsidP="00655B31">
      <w:pPr>
        <w:spacing w:afterLines="50" w:line="240" w:lineRule="auto"/>
        <w:jc w:val="left"/>
        <w:rPr>
          <w:b/>
        </w:rPr>
      </w:pPr>
      <w:bookmarkStart w:id="3" w:name="_Toc502437832"/>
      <w:r>
        <w:rPr>
          <w:b/>
        </w:rPr>
        <w:t>Proposal 1: For CG/2-step RACH SDT, the data volume threshold is the uplink grant size of CG and MsgA respectively.</w:t>
      </w:r>
    </w:p>
    <w:p w14:paraId="797A44BE" w14:textId="7BE18B90" w:rsidR="00655B31" w:rsidRDefault="00655B31" w:rsidP="00655B31">
      <w:pPr>
        <w:rPr>
          <w:b/>
        </w:rPr>
      </w:pPr>
      <w:r w:rsidRPr="005B521A">
        <w:rPr>
          <w:b/>
          <w:lang w:eastAsia="ko-KR"/>
        </w:rPr>
        <w:t xml:space="preserve">Proposal 2: </w:t>
      </w:r>
      <w:r w:rsidRPr="005B521A">
        <w:rPr>
          <w:b/>
        </w:rPr>
        <w:t xml:space="preserve">For </w:t>
      </w:r>
      <w:r>
        <w:rPr>
          <w:b/>
        </w:rPr>
        <w:t>4</w:t>
      </w:r>
      <w:r w:rsidRPr="005B521A">
        <w:rPr>
          <w:b/>
        </w:rPr>
        <w:t xml:space="preserve">-step RACH SDT, the data volume threshold is </w:t>
      </w:r>
      <w:r>
        <w:rPr>
          <w:b/>
        </w:rPr>
        <w:t>configured in SIB</w:t>
      </w:r>
      <w:r w:rsidRPr="005B521A">
        <w:rPr>
          <w:b/>
        </w:rPr>
        <w:t>.</w:t>
      </w:r>
    </w:p>
    <w:p w14:paraId="1488CA46" w14:textId="77777777" w:rsidR="001B666F" w:rsidRPr="0045696D" w:rsidRDefault="001B666F" w:rsidP="001B666F">
      <w:pPr>
        <w:rPr>
          <w:b/>
          <w:lang w:eastAsia="ko-KR"/>
        </w:rPr>
      </w:pPr>
      <w:r w:rsidRPr="0045696D">
        <w:rPr>
          <w:b/>
          <w:lang w:eastAsia="ko-KR"/>
        </w:rPr>
        <w:t>Proposal 3: The data volume threshold for different SDT procedure can be different.</w:t>
      </w:r>
    </w:p>
    <w:p w14:paraId="65AE6F36" w14:textId="77777777" w:rsidR="00125FEB" w:rsidRDefault="00125FEB" w:rsidP="00125FEB">
      <w:pPr>
        <w:rPr>
          <w:lang w:eastAsia="ko-KR"/>
        </w:rPr>
      </w:pPr>
      <w:r>
        <w:rPr>
          <w:b/>
        </w:rPr>
        <w:t xml:space="preserve">Proposal 4: The resulting MAC PDU size of the first </w:t>
      </w:r>
      <w:r>
        <w:rPr>
          <w:rFonts w:hint="eastAsia"/>
          <w:b/>
        </w:rPr>
        <w:t>upl</w:t>
      </w:r>
      <w:r>
        <w:rPr>
          <w:b/>
        </w:rPr>
        <w:t>ink transmission is compared with the data volume threshold.</w:t>
      </w:r>
    </w:p>
    <w:p w14:paraId="521BF803" w14:textId="77777777" w:rsidR="00381FA1" w:rsidRDefault="00381FA1" w:rsidP="00381FA1">
      <w:pPr>
        <w:rPr>
          <w:lang w:eastAsia="ko-KR"/>
        </w:rPr>
      </w:pPr>
      <w:r w:rsidRPr="000A715E">
        <w:rPr>
          <w:b/>
          <w:lang w:eastAsia="ko-KR"/>
        </w:rPr>
        <w:t xml:space="preserve">Proposal </w:t>
      </w:r>
      <w:r>
        <w:rPr>
          <w:b/>
          <w:lang w:eastAsia="ko-KR"/>
        </w:rPr>
        <w:t>5</w:t>
      </w:r>
      <w:r w:rsidRPr="000A715E">
        <w:rPr>
          <w:b/>
          <w:lang w:eastAsia="ko-KR"/>
        </w:rPr>
        <w:t>:</w:t>
      </w:r>
      <w:r w:rsidRPr="001B18BB">
        <w:rPr>
          <w:b/>
        </w:rPr>
        <w:t xml:space="preserve"> </w:t>
      </w:r>
      <w:r>
        <w:rPr>
          <w:b/>
        </w:rPr>
        <w:t xml:space="preserve">The resulting MAC PDU can include more than one MAC </w:t>
      </w:r>
      <w:r>
        <w:rPr>
          <w:rFonts w:hint="eastAsia"/>
          <w:b/>
        </w:rPr>
        <w:t>SDU</w:t>
      </w:r>
      <w:r>
        <w:rPr>
          <w:b/>
        </w:rPr>
        <w:t>s of SDT RB.</w:t>
      </w:r>
    </w:p>
    <w:p w14:paraId="582B6568" w14:textId="77777777" w:rsidR="007C6706" w:rsidRPr="00AC1855" w:rsidRDefault="007C6706" w:rsidP="007C6706">
      <w:pPr>
        <w:spacing w:afterLines="50" w:line="240" w:lineRule="auto"/>
        <w:jc w:val="left"/>
        <w:rPr>
          <w:b/>
        </w:rPr>
      </w:pPr>
      <w:r w:rsidRPr="00AC1855">
        <w:rPr>
          <w:b/>
          <w:lang w:eastAsia="ko-KR"/>
        </w:rPr>
        <w:t xml:space="preserve">Proposal </w:t>
      </w:r>
      <w:r>
        <w:rPr>
          <w:b/>
          <w:lang w:eastAsia="ko-KR"/>
        </w:rPr>
        <w:t>6</w:t>
      </w:r>
      <w:r w:rsidRPr="00AC1855">
        <w:rPr>
          <w:b/>
          <w:lang w:eastAsia="ko-KR"/>
        </w:rPr>
        <w:t xml:space="preserve">: </w:t>
      </w:r>
      <w:r w:rsidRPr="00AC1855">
        <w:rPr>
          <w:b/>
        </w:rPr>
        <w:t>Only the RLC PDU containing a complete RLC SDU is considered for the data volume calculation.</w:t>
      </w:r>
    </w:p>
    <w:p w14:paraId="16B40DF9" w14:textId="77777777" w:rsidR="001B666F" w:rsidRPr="006A1D13" w:rsidRDefault="001B666F" w:rsidP="00655B31">
      <w:pPr>
        <w:rPr>
          <w:b/>
          <w:lang w:val="en-US" w:eastAsia="ko-KR"/>
        </w:rPr>
      </w:pP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596F275E" w14:textId="7FB154DF" w:rsidR="001014CF" w:rsidRDefault="00823056" w:rsidP="00C47819">
      <w:pPr>
        <w:spacing w:afterLines="50" w:line="240" w:lineRule="auto"/>
        <w:jc w:val="left"/>
      </w:pPr>
      <w:r>
        <w:t xml:space="preserve">[1] </w:t>
      </w:r>
      <w:r w:rsidR="00C47819">
        <w:t xml:space="preserve">RAN2#111-e meeting </w:t>
      </w:r>
      <w:r w:rsidR="00A16C3A">
        <w:t>minutes</w:t>
      </w:r>
      <w:r w:rsidR="00C47819">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DB2A6" w14:textId="77777777" w:rsidR="009A0B13" w:rsidRDefault="009A0B13">
      <w:pPr>
        <w:spacing w:after="0" w:line="240" w:lineRule="auto"/>
      </w:pPr>
      <w:r>
        <w:separator/>
      </w:r>
    </w:p>
  </w:endnote>
  <w:endnote w:type="continuationSeparator" w:id="0">
    <w:p w14:paraId="0E59B321" w14:textId="77777777" w:rsidR="009A0B13" w:rsidRDefault="009A0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9A145" w14:textId="77777777" w:rsidR="009A0B13" w:rsidRDefault="009A0B13">
      <w:pPr>
        <w:spacing w:after="0" w:line="240" w:lineRule="auto"/>
      </w:pPr>
      <w:r>
        <w:separator/>
      </w:r>
    </w:p>
  </w:footnote>
  <w:footnote w:type="continuationSeparator" w:id="0">
    <w:p w14:paraId="68B1B4B4" w14:textId="77777777" w:rsidR="009A0B13" w:rsidRDefault="009A0B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1731AF"/>
    <w:multiLevelType w:val="hybridMultilevel"/>
    <w:tmpl w:val="886AAA6E"/>
    <w:lvl w:ilvl="0" w:tplc="4C384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16"/>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3"/>
  </w:num>
  <w:num w:numId="18">
    <w:abstractNumId w:val="0"/>
  </w:num>
  <w:num w:numId="19">
    <w:abstractNumId w:val="0"/>
  </w:num>
  <w:num w:numId="20">
    <w:abstractNumId w:val="11"/>
  </w:num>
  <w:num w:numId="21">
    <w:abstractNumId w:val="0"/>
  </w:num>
  <w:num w:numId="22">
    <w:abstractNumId w:val="1"/>
  </w:num>
  <w:num w:numId="23">
    <w:abstractNumId w:val="3"/>
  </w:num>
  <w:num w:numId="24">
    <w:abstractNumId w:val="15"/>
  </w:num>
  <w:num w:numId="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126E"/>
    <w:rsid w:val="000116BA"/>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48F"/>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586"/>
    <w:rsid w:val="00065AF3"/>
    <w:rsid w:val="00065C61"/>
    <w:rsid w:val="00065D75"/>
    <w:rsid w:val="00065DD5"/>
    <w:rsid w:val="00065E21"/>
    <w:rsid w:val="0006638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8D"/>
    <w:rsid w:val="000762F4"/>
    <w:rsid w:val="0007682F"/>
    <w:rsid w:val="00076ADA"/>
    <w:rsid w:val="00076BCC"/>
    <w:rsid w:val="00076BD9"/>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166"/>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6E89"/>
    <w:rsid w:val="000A7100"/>
    <w:rsid w:val="000A715E"/>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583"/>
    <w:rsid w:val="000B5F70"/>
    <w:rsid w:val="000B60D6"/>
    <w:rsid w:val="000B61FA"/>
    <w:rsid w:val="000B645F"/>
    <w:rsid w:val="000B660F"/>
    <w:rsid w:val="000B6C01"/>
    <w:rsid w:val="000B6C4F"/>
    <w:rsid w:val="000B6FC4"/>
    <w:rsid w:val="000B7A9C"/>
    <w:rsid w:val="000C01A4"/>
    <w:rsid w:val="000C0740"/>
    <w:rsid w:val="000C0A8B"/>
    <w:rsid w:val="000C0C55"/>
    <w:rsid w:val="000C0CF7"/>
    <w:rsid w:val="000C10DA"/>
    <w:rsid w:val="000C1737"/>
    <w:rsid w:val="000C1C0B"/>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6077"/>
    <w:rsid w:val="000D66A4"/>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7F0"/>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4B4"/>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4E34"/>
    <w:rsid w:val="0012507A"/>
    <w:rsid w:val="001250D6"/>
    <w:rsid w:val="0012528F"/>
    <w:rsid w:val="0012589A"/>
    <w:rsid w:val="00125FEB"/>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0EF"/>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853"/>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741"/>
    <w:rsid w:val="001635B1"/>
    <w:rsid w:val="001635BB"/>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B5"/>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8BB"/>
    <w:rsid w:val="001B1FD1"/>
    <w:rsid w:val="001B3233"/>
    <w:rsid w:val="001B406A"/>
    <w:rsid w:val="001B409E"/>
    <w:rsid w:val="001B41F5"/>
    <w:rsid w:val="001B4B1D"/>
    <w:rsid w:val="001B4B7C"/>
    <w:rsid w:val="001B500F"/>
    <w:rsid w:val="001B5220"/>
    <w:rsid w:val="001B591A"/>
    <w:rsid w:val="001B5EDB"/>
    <w:rsid w:val="001B5F18"/>
    <w:rsid w:val="001B666F"/>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D51"/>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11B"/>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0F5"/>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6B"/>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4EC3"/>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46C"/>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7F7"/>
    <w:rsid w:val="00245943"/>
    <w:rsid w:val="0024714F"/>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8A"/>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E86"/>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0903"/>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63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070A"/>
    <w:rsid w:val="002F0A6A"/>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2C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A63"/>
    <w:rsid w:val="00332FAB"/>
    <w:rsid w:val="00333126"/>
    <w:rsid w:val="003336FF"/>
    <w:rsid w:val="00333B8D"/>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1FA1"/>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2CF"/>
    <w:rsid w:val="0040282B"/>
    <w:rsid w:val="0040297E"/>
    <w:rsid w:val="00402E78"/>
    <w:rsid w:val="004033CD"/>
    <w:rsid w:val="004035E1"/>
    <w:rsid w:val="00403E2A"/>
    <w:rsid w:val="00404047"/>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4911"/>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178"/>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96D"/>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06"/>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36E"/>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256"/>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9AF"/>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7D"/>
    <w:rsid w:val="00502399"/>
    <w:rsid w:val="00503110"/>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0CCF"/>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5D1"/>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5C8"/>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21A"/>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735"/>
    <w:rsid w:val="00624C4B"/>
    <w:rsid w:val="00625B1E"/>
    <w:rsid w:val="00626459"/>
    <w:rsid w:val="006267B7"/>
    <w:rsid w:val="00626C72"/>
    <w:rsid w:val="00626DD0"/>
    <w:rsid w:val="006271E9"/>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4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192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958"/>
    <w:rsid w:val="00654C3D"/>
    <w:rsid w:val="00654C60"/>
    <w:rsid w:val="00654DF8"/>
    <w:rsid w:val="006553F6"/>
    <w:rsid w:val="00655689"/>
    <w:rsid w:val="00655B31"/>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382"/>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1D13"/>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39D7"/>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2B4"/>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DE"/>
    <w:rsid w:val="007844E6"/>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70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94B"/>
    <w:rsid w:val="007F6AC1"/>
    <w:rsid w:val="007F6D19"/>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7D7"/>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4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233"/>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77FF3"/>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001"/>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442"/>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77"/>
    <w:rsid w:val="008F5CAB"/>
    <w:rsid w:val="008F5F3A"/>
    <w:rsid w:val="008F5F72"/>
    <w:rsid w:val="008F6005"/>
    <w:rsid w:val="008F6A8F"/>
    <w:rsid w:val="008F6E5B"/>
    <w:rsid w:val="008F6F72"/>
    <w:rsid w:val="008F71C9"/>
    <w:rsid w:val="008F72CA"/>
    <w:rsid w:val="008F7890"/>
    <w:rsid w:val="008F7FE0"/>
    <w:rsid w:val="00900138"/>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C1C"/>
    <w:rsid w:val="00930D80"/>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B1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582"/>
    <w:rsid w:val="009F46AC"/>
    <w:rsid w:val="009F4785"/>
    <w:rsid w:val="009F50F4"/>
    <w:rsid w:val="009F5745"/>
    <w:rsid w:val="009F5AD8"/>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61C"/>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7B9"/>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1E5F"/>
    <w:rsid w:val="00A820BF"/>
    <w:rsid w:val="00A82EE6"/>
    <w:rsid w:val="00A82FBD"/>
    <w:rsid w:val="00A833D7"/>
    <w:rsid w:val="00A8340E"/>
    <w:rsid w:val="00A8361D"/>
    <w:rsid w:val="00A83624"/>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E2"/>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855"/>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B75"/>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9A8"/>
    <w:rsid w:val="00B77D0F"/>
    <w:rsid w:val="00B802FF"/>
    <w:rsid w:val="00B803C8"/>
    <w:rsid w:val="00B807BD"/>
    <w:rsid w:val="00B81130"/>
    <w:rsid w:val="00B8210C"/>
    <w:rsid w:val="00B82178"/>
    <w:rsid w:val="00B8238D"/>
    <w:rsid w:val="00B8254C"/>
    <w:rsid w:val="00B826A9"/>
    <w:rsid w:val="00B82817"/>
    <w:rsid w:val="00B82F4E"/>
    <w:rsid w:val="00B82FE2"/>
    <w:rsid w:val="00B8306C"/>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070"/>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C8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397"/>
    <w:rsid w:val="00BC7627"/>
    <w:rsid w:val="00BC76A1"/>
    <w:rsid w:val="00BC782E"/>
    <w:rsid w:val="00BC7DFC"/>
    <w:rsid w:val="00BC7ECE"/>
    <w:rsid w:val="00BD0328"/>
    <w:rsid w:val="00BD034C"/>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51B6"/>
    <w:rsid w:val="00BD5227"/>
    <w:rsid w:val="00BD599A"/>
    <w:rsid w:val="00BD5A37"/>
    <w:rsid w:val="00BD5AEC"/>
    <w:rsid w:val="00BD5D83"/>
    <w:rsid w:val="00BD672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3D49"/>
    <w:rsid w:val="00BE4105"/>
    <w:rsid w:val="00BE46A1"/>
    <w:rsid w:val="00BE48EC"/>
    <w:rsid w:val="00BE4B57"/>
    <w:rsid w:val="00BE60B4"/>
    <w:rsid w:val="00BE66FA"/>
    <w:rsid w:val="00BE6BED"/>
    <w:rsid w:val="00BE6F8A"/>
    <w:rsid w:val="00BE751E"/>
    <w:rsid w:val="00BE779E"/>
    <w:rsid w:val="00BE7EB3"/>
    <w:rsid w:val="00BF03D5"/>
    <w:rsid w:val="00BF0A41"/>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1"/>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4EB"/>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292"/>
    <w:rsid w:val="00C863BB"/>
    <w:rsid w:val="00C864DE"/>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CB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3A6E"/>
    <w:rsid w:val="00CC437A"/>
    <w:rsid w:val="00CC45A1"/>
    <w:rsid w:val="00CC5200"/>
    <w:rsid w:val="00CC6049"/>
    <w:rsid w:val="00CC6730"/>
    <w:rsid w:val="00CC6823"/>
    <w:rsid w:val="00CC691D"/>
    <w:rsid w:val="00CC7D03"/>
    <w:rsid w:val="00CC7D19"/>
    <w:rsid w:val="00CC7FA0"/>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02D"/>
    <w:rsid w:val="00CF55E1"/>
    <w:rsid w:val="00CF576C"/>
    <w:rsid w:val="00CF5C99"/>
    <w:rsid w:val="00CF62D6"/>
    <w:rsid w:val="00CF63DB"/>
    <w:rsid w:val="00CF6471"/>
    <w:rsid w:val="00CF71B9"/>
    <w:rsid w:val="00CF75C4"/>
    <w:rsid w:val="00CF78A3"/>
    <w:rsid w:val="00CF7A57"/>
    <w:rsid w:val="00CF7CD6"/>
    <w:rsid w:val="00CF7D65"/>
    <w:rsid w:val="00CF7F5E"/>
    <w:rsid w:val="00D0068F"/>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9A"/>
    <w:rsid w:val="00D218D7"/>
    <w:rsid w:val="00D21B62"/>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06C"/>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789"/>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E8"/>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6E8F"/>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5C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C0A"/>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CC1"/>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AC1"/>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C4E"/>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CBA"/>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8A"/>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0C51"/>
    <w:rsid w:val="00F71123"/>
    <w:rsid w:val="00F71199"/>
    <w:rsid w:val="00F71AA2"/>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78"/>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903A2"/>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297"/>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457"/>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27"/>
    <w:rsid w:val="00FD5C38"/>
    <w:rsid w:val="00FD5E51"/>
    <w:rsid w:val="00FD63FD"/>
    <w:rsid w:val="00FD669E"/>
    <w:rsid w:val="00FD729F"/>
    <w:rsid w:val="00FD7404"/>
    <w:rsid w:val="00FD773F"/>
    <w:rsid w:val="00FD79AF"/>
    <w:rsid w:val="00FE00D4"/>
    <w:rsid w:val="00FE0893"/>
    <w:rsid w:val="00FE09BF"/>
    <w:rsid w:val="00FE0C56"/>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782DC-81A3-4540-8164-DF358EBE3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3610</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1811</cp:revision>
  <cp:lastPrinted>2018-04-04T09:40:00Z</cp:lastPrinted>
  <dcterms:created xsi:type="dcterms:W3CDTF">2018-11-01T12:39:00Z</dcterms:created>
  <dcterms:modified xsi:type="dcterms:W3CDTF">2021-04-02T04:18:00Z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